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9B215" w14:textId="77777777" w:rsidR="00243431" w:rsidRDefault="00243431" w:rsidP="00573DC6">
      <w:pPr>
        <w:jc w:val="both"/>
        <w:rPr>
          <w:rFonts w:ascii="Times New Roman" w:hAnsi="Times New Roman" w:cs="Times New Roman"/>
          <w:b/>
          <w:bCs/>
          <w:sz w:val="28"/>
          <w:szCs w:val="28"/>
        </w:rPr>
      </w:pPr>
      <w:r>
        <w:rPr>
          <w:rFonts w:ascii="Times New Roman" w:hAnsi="Times New Roman" w:cs="Times New Roman"/>
          <w:b/>
          <w:bCs/>
          <w:sz w:val="28"/>
          <w:szCs w:val="28"/>
        </w:rPr>
        <w:t>CARO PRATICO n. 3</w:t>
      </w:r>
    </w:p>
    <w:p w14:paraId="44629336" w14:textId="31471F5E" w:rsidR="00243431" w:rsidRDefault="00243431" w:rsidP="00573DC6">
      <w:pPr>
        <w:jc w:val="both"/>
        <w:rPr>
          <w:rFonts w:ascii="Times New Roman" w:hAnsi="Times New Roman" w:cs="Times New Roman"/>
          <w:b/>
          <w:bCs/>
          <w:sz w:val="28"/>
          <w:szCs w:val="28"/>
        </w:rPr>
      </w:pPr>
      <w:r>
        <w:rPr>
          <w:rFonts w:ascii="Times New Roman" w:hAnsi="Times New Roman" w:cs="Times New Roman"/>
          <w:b/>
          <w:bCs/>
          <w:sz w:val="28"/>
          <w:szCs w:val="28"/>
        </w:rPr>
        <w:t>DOLCE &amp; GABBANA</w:t>
      </w:r>
    </w:p>
    <w:p w14:paraId="2F6390F6" w14:textId="3FB60174" w:rsidR="00573DC6" w:rsidRPr="0076378A" w:rsidRDefault="00573DC6" w:rsidP="00573DC6">
      <w:pPr>
        <w:jc w:val="both"/>
        <w:rPr>
          <w:rFonts w:ascii="Times New Roman" w:hAnsi="Times New Roman" w:cs="Times New Roman"/>
          <w:b/>
          <w:bCs/>
          <w:sz w:val="28"/>
          <w:szCs w:val="28"/>
        </w:rPr>
      </w:pPr>
      <w:r w:rsidRPr="0076378A">
        <w:rPr>
          <w:rFonts w:ascii="Times New Roman" w:hAnsi="Times New Roman" w:cs="Times New Roman"/>
          <w:b/>
          <w:bCs/>
          <w:sz w:val="28"/>
          <w:szCs w:val="28"/>
        </w:rPr>
        <w:t>Intro</w:t>
      </w:r>
      <w:r w:rsidR="008D504C" w:rsidRPr="0076378A">
        <w:rPr>
          <w:rFonts w:ascii="Times New Roman" w:hAnsi="Times New Roman" w:cs="Times New Roman"/>
          <w:b/>
          <w:bCs/>
          <w:sz w:val="28"/>
          <w:szCs w:val="28"/>
        </w:rPr>
        <w:t xml:space="preserve">duzione </w:t>
      </w:r>
    </w:p>
    <w:p w14:paraId="2039424D" w14:textId="7C2D3A71" w:rsidR="00573DC6" w:rsidRPr="0076378A" w:rsidRDefault="007803EB" w:rsidP="007803EB">
      <w:pPr>
        <w:jc w:val="both"/>
        <w:rPr>
          <w:rFonts w:ascii="Times New Roman" w:hAnsi="Times New Roman" w:cs="Times New Roman"/>
          <w:sz w:val="28"/>
          <w:szCs w:val="28"/>
        </w:rPr>
      </w:pPr>
      <w:r w:rsidRPr="0076378A">
        <w:rPr>
          <w:rFonts w:ascii="Times New Roman" w:hAnsi="Times New Roman" w:cs="Times New Roman"/>
          <w:sz w:val="28"/>
          <w:szCs w:val="28"/>
        </w:rPr>
        <w:t>Gli elementi di fatto assunti a base della attribuzione della residenza fiscale delle società determinano l’estensione della tassazione del reddito d’impresa al reddito ovunque prodotto: si comprende di conseguenza come gli Stati siano da sempre gelosi di preservare il proprio potere di individuarli liberamente.</w:t>
      </w:r>
    </w:p>
    <w:p w14:paraId="0DA884AD" w14:textId="3C40C80C" w:rsidR="007803EB" w:rsidRPr="0076378A" w:rsidRDefault="007803EB" w:rsidP="007803EB">
      <w:pPr>
        <w:jc w:val="both"/>
        <w:rPr>
          <w:rFonts w:ascii="Times New Roman" w:hAnsi="Times New Roman" w:cs="Times New Roman"/>
          <w:sz w:val="28"/>
          <w:szCs w:val="28"/>
        </w:rPr>
      </w:pPr>
      <w:r w:rsidRPr="0076378A">
        <w:rPr>
          <w:rFonts w:ascii="Times New Roman" w:hAnsi="Times New Roman" w:cs="Times New Roman"/>
          <w:sz w:val="28"/>
          <w:szCs w:val="28"/>
        </w:rPr>
        <w:t>Nel Sistema Italiano sono previsti dei criteri, formali (sede legale) e sostanziali (sede di direzione effettiva o la gestione ordinaria in via principale), per l’</w:t>
      </w:r>
      <w:proofErr w:type="spellStart"/>
      <w:r w:rsidRPr="0076378A">
        <w:rPr>
          <w:rFonts w:ascii="Times New Roman" w:hAnsi="Times New Roman" w:cs="Times New Roman"/>
          <w:sz w:val="28"/>
          <w:szCs w:val="28"/>
        </w:rPr>
        <w:t>individuaizone</w:t>
      </w:r>
      <w:proofErr w:type="spellEnd"/>
      <w:r w:rsidRPr="0076378A">
        <w:rPr>
          <w:rFonts w:ascii="Times New Roman" w:hAnsi="Times New Roman" w:cs="Times New Roman"/>
          <w:sz w:val="28"/>
          <w:szCs w:val="28"/>
        </w:rPr>
        <w:t xml:space="preserve"> della residenza delle società.</w:t>
      </w:r>
    </w:p>
    <w:p w14:paraId="7EFA60A5" w14:textId="77777777" w:rsidR="007803EB" w:rsidRPr="0076378A" w:rsidRDefault="007803EB" w:rsidP="007803EB">
      <w:pPr>
        <w:jc w:val="both"/>
        <w:rPr>
          <w:rFonts w:ascii="Times New Roman" w:hAnsi="Times New Roman" w:cs="Times New Roman"/>
          <w:sz w:val="28"/>
          <w:szCs w:val="28"/>
        </w:rPr>
      </w:pPr>
      <w:r w:rsidRPr="0076378A">
        <w:rPr>
          <w:rFonts w:ascii="Times New Roman" w:hAnsi="Times New Roman" w:cs="Times New Roman"/>
          <w:sz w:val="28"/>
          <w:szCs w:val="28"/>
        </w:rPr>
        <w:t>Il concetto di esterovestizione individua una realtà societaria in cui coesistono due diversi concetti di residenza: formale e sostanziale.</w:t>
      </w:r>
    </w:p>
    <w:p w14:paraId="4B94337C" w14:textId="77688F17" w:rsidR="007803EB" w:rsidRPr="0076378A" w:rsidRDefault="007803EB" w:rsidP="00880B4D">
      <w:pPr>
        <w:jc w:val="both"/>
        <w:rPr>
          <w:rFonts w:ascii="Times New Roman" w:hAnsi="Times New Roman" w:cs="Times New Roman"/>
          <w:sz w:val="28"/>
          <w:szCs w:val="28"/>
        </w:rPr>
      </w:pPr>
      <w:r w:rsidRPr="0076378A">
        <w:rPr>
          <w:rFonts w:ascii="Times New Roman" w:hAnsi="Times New Roman" w:cs="Times New Roman"/>
          <w:sz w:val="28"/>
          <w:szCs w:val="28"/>
        </w:rPr>
        <w:t xml:space="preserve">La residenza formale è quella risultante dall’atto costitutivo o dallo statuto quale luogo in cui sono determinate le linee di indirizzo organizzativo e realizzativo dello scopo sociale; la residenza sostanziale è, al contrario, quella che coincide con il luogo in cui le decisioni operative sono realmente determinate dagli organi posti all’apice della struttura imprenditoriale. </w:t>
      </w:r>
      <w:r w:rsidR="00880B4D" w:rsidRPr="0076378A">
        <w:rPr>
          <w:rFonts w:ascii="Times New Roman" w:hAnsi="Times New Roman" w:cs="Times New Roman"/>
          <w:sz w:val="28"/>
          <w:szCs w:val="28"/>
        </w:rPr>
        <w:t xml:space="preserve">Con il fenomeno dell’esterovestizione il contribuente dà vita ad una situazione di apparente collocazione in altro ordinamento di una società che al contrario resta radicata nel contesto del sistema giuridico </w:t>
      </w:r>
      <w:proofErr w:type="gramStart"/>
      <w:r w:rsidR="00880B4D" w:rsidRPr="0076378A">
        <w:rPr>
          <w:rFonts w:ascii="Times New Roman" w:hAnsi="Times New Roman" w:cs="Times New Roman"/>
          <w:sz w:val="28"/>
          <w:szCs w:val="28"/>
        </w:rPr>
        <w:t>Italiano</w:t>
      </w:r>
      <w:proofErr w:type="gramEnd"/>
      <w:r w:rsidR="00880B4D" w:rsidRPr="0076378A">
        <w:rPr>
          <w:rFonts w:ascii="Times New Roman" w:hAnsi="Times New Roman" w:cs="Times New Roman"/>
          <w:sz w:val="28"/>
          <w:szCs w:val="28"/>
        </w:rPr>
        <w:t xml:space="preserve">. Di fatto si tratta della fittizia localizzazione all’estero di una società in particolare in un Paese con un trattamento fiscale più vantaggioso di quello nazionale, allo scopo, ovviamente, di sottrarsi al più gravoso regime nazionale. </w:t>
      </w:r>
    </w:p>
    <w:p w14:paraId="19BCF3BA" w14:textId="117EE141" w:rsidR="00573DC6" w:rsidRPr="0076378A" w:rsidRDefault="008D504C" w:rsidP="007803EB">
      <w:pPr>
        <w:jc w:val="both"/>
        <w:rPr>
          <w:rFonts w:ascii="Times New Roman" w:hAnsi="Times New Roman" w:cs="Times New Roman"/>
          <w:b/>
          <w:bCs/>
          <w:sz w:val="28"/>
          <w:szCs w:val="28"/>
        </w:rPr>
      </w:pPr>
      <w:r w:rsidRPr="0076378A">
        <w:rPr>
          <w:rFonts w:ascii="Times New Roman" w:hAnsi="Times New Roman" w:cs="Times New Roman"/>
          <w:b/>
          <w:bCs/>
          <w:sz w:val="28"/>
          <w:szCs w:val="28"/>
        </w:rPr>
        <w:t>Caso Pratico</w:t>
      </w:r>
    </w:p>
    <w:p w14:paraId="6D2A800F" w14:textId="42DC5EF4" w:rsidR="007803EB" w:rsidRPr="0076378A" w:rsidRDefault="007803EB" w:rsidP="00573DC6">
      <w:pPr>
        <w:jc w:val="both"/>
        <w:rPr>
          <w:rFonts w:ascii="Times New Roman" w:hAnsi="Times New Roman" w:cs="Times New Roman"/>
          <w:sz w:val="28"/>
          <w:szCs w:val="28"/>
        </w:rPr>
      </w:pPr>
      <w:r w:rsidRPr="0076378A">
        <w:rPr>
          <w:rFonts w:ascii="Times New Roman" w:hAnsi="Times New Roman" w:cs="Times New Roman"/>
          <w:sz w:val="28"/>
          <w:szCs w:val="28"/>
        </w:rPr>
        <w:t xml:space="preserve">Il gruppo Italiano Dolce &amp; </w:t>
      </w:r>
      <w:proofErr w:type="gramStart"/>
      <w:r w:rsidRPr="0076378A">
        <w:rPr>
          <w:rFonts w:ascii="Times New Roman" w:hAnsi="Times New Roman" w:cs="Times New Roman"/>
          <w:sz w:val="28"/>
          <w:szCs w:val="28"/>
        </w:rPr>
        <w:t>Gabbana  costituisce</w:t>
      </w:r>
      <w:proofErr w:type="gramEnd"/>
      <w:r w:rsidRPr="0076378A">
        <w:rPr>
          <w:rFonts w:ascii="Times New Roman" w:hAnsi="Times New Roman" w:cs="Times New Roman"/>
          <w:sz w:val="28"/>
          <w:szCs w:val="28"/>
        </w:rPr>
        <w:t xml:space="preserve"> due nuove società di nazionalità lussemburghese (la Dolce &amp; Gabbana Luxemburg e la </w:t>
      </w:r>
      <w:proofErr w:type="spellStart"/>
      <w:r w:rsidRPr="0076378A">
        <w:rPr>
          <w:rFonts w:ascii="Times New Roman" w:hAnsi="Times New Roman" w:cs="Times New Roman"/>
          <w:sz w:val="28"/>
          <w:szCs w:val="28"/>
        </w:rPr>
        <w:t>Gado</w:t>
      </w:r>
      <w:proofErr w:type="spellEnd"/>
      <w:r w:rsidRPr="0076378A">
        <w:rPr>
          <w:rFonts w:ascii="Times New Roman" w:hAnsi="Times New Roman" w:cs="Times New Roman"/>
          <w:sz w:val="28"/>
          <w:szCs w:val="28"/>
        </w:rPr>
        <w:t xml:space="preserve"> </w:t>
      </w:r>
      <w:proofErr w:type="spellStart"/>
      <w:r w:rsidRPr="0076378A">
        <w:rPr>
          <w:rFonts w:ascii="Times New Roman" w:hAnsi="Times New Roman" w:cs="Times New Roman"/>
          <w:sz w:val="28"/>
          <w:szCs w:val="28"/>
        </w:rPr>
        <w:t>S.a.r.l</w:t>
      </w:r>
      <w:proofErr w:type="spellEnd"/>
      <w:r w:rsidRPr="0076378A">
        <w:rPr>
          <w:rFonts w:ascii="Times New Roman" w:hAnsi="Times New Roman" w:cs="Times New Roman"/>
          <w:sz w:val="28"/>
          <w:szCs w:val="28"/>
        </w:rPr>
        <w:t xml:space="preserve">.).  La Dolce &amp; Gabbana Luxemburg è controllata dalla società holding italiana D&amp;G s.r.l., e detiene la totalità delle quote sociali della </w:t>
      </w:r>
      <w:proofErr w:type="spellStart"/>
      <w:r w:rsidRPr="0076378A">
        <w:rPr>
          <w:rFonts w:ascii="Times New Roman" w:hAnsi="Times New Roman" w:cs="Times New Roman"/>
          <w:sz w:val="28"/>
          <w:szCs w:val="28"/>
        </w:rPr>
        <w:t>Gado</w:t>
      </w:r>
      <w:proofErr w:type="spellEnd"/>
      <w:r w:rsidRPr="0076378A">
        <w:rPr>
          <w:rFonts w:ascii="Times New Roman" w:hAnsi="Times New Roman" w:cs="Times New Roman"/>
          <w:sz w:val="28"/>
          <w:szCs w:val="28"/>
        </w:rPr>
        <w:t xml:space="preserve"> </w:t>
      </w:r>
      <w:proofErr w:type="gramStart"/>
      <w:r w:rsidRPr="0076378A">
        <w:rPr>
          <w:rFonts w:ascii="Times New Roman" w:hAnsi="Times New Roman" w:cs="Times New Roman"/>
          <w:sz w:val="28"/>
          <w:szCs w:val="28"/>
        </w:rPr>
        <w:t>s.r.l..</w:t>
      </w:r>
      <w:proofErr w:type="gramEnd"/>
      <w:r w:rsidRPr="0076378A">
        <w:rPr>
          <w:rFonts w:ascii="Times New Roman" w:hAnsi="Times New Roman" w:cs="Times New Roman"/>
          <w:sz w:val="28"/>
          <w:szCs w:val="28"/>
        </w:rPr>
        <w:t xml:space="preserve"> A </w:t>
      </w:r>
      <w:proofErr w:type="spellStart"/>
      <w:proofErr w:type="gramStart"/>
      <w:r w:rsidRPr="0076378A">
        <w:rPr>
          <w:rFonts w:ascii="Times New Roman" w:hAnsi="Times New Roman" w:cs="Times New Roman"/>
          <w:sz w:val="28"/>
          <w:szCs w:val="28"/>
        </w:rPr>
        <w:t>Gado</w:t>
      </w:r>
      <w:proofErr w:type="spellEnd"/>
      <w:r w:rsidRPr="0076378A">
        <w:rPr>
          <w:rFonts w:ascii="Times New Roman" w:hAnsi="Times New Roman" w:cs="Times New Roman"/>
          <w:sz w:val="28"/>
          <w:szCs w:val="28"/>
        </w:rPr>
        <w:t xml:space="preserve">  sono</w:t>
      </w:r>
      <w:proofErr w:type="gramEnd"/>
      <w:r w:rsidRPr="0076378A">
        <w:rPr>
          <w:rFonts w:ascii="Times New Roman" w:hAnsi="Times New Roman" w:cs="Times New Roman"/>
          <w:sz w:val="28"/>
          <w:szCs w:val="28"/>
        </w:rPr>
        <w:t xml:space="preserve"> stati venduti i marchi del gruppo Dolce &amp; Gabbana, con il compito di tutela e gestione dei marchi.</w:t>
      </w:r>
    </w:p>
    <w:p w14:paraId="26683745" w14:textId="1F206ECD" w:rsidR="007803EB" w:rsidRPr="0076378A" w:rsidRDefault="007803EB" w:rsidP="00573DC6">
      <w:pPr>
        <w:jc w:val="both"/>
        <w:rPr>
          <w:rFonts w:ascii="Times New Roman" w:hAnsi="Times New Roman" w:cs="Times New Roman"/>
          <w:sz w:val="28"/>
          <w:szCs w:val="28"/>
        </w:rPr>
      </w:pPr>
      <w:r w:rsidRPr="0076378A">
        <w:rPr>
          <w:rFonts w:ascii="Times New Roman" w:hAnsi="Times New Roman" w:cs="Times New Roman"/>
          <w:sz w:val="28"/>
          <w:szCs w:val="28"/>
        </w:rPr>
        <w:t xml:space="preserve">L'Amministrazione finanziaria italiana ritengono che la società “apparentemente” lussemburghese </w:t>
      </w:r>
      <w:proofErr w:type="spellStart"/>
      <w:r w:rsidRPr="0076378A">
        <w:rPr>
          <w:rFonts w:ascii="Times New Roman" w:hAnsi="Times New Roman" w:cs="Times New Roman"/>
          <w:sz w:val="28"/>
          <w:szCs w:val="28"/>
        </w:rPr>
        <w:t>Gado</w:t>
      </w:r>
      <w:proofErr w:type="spellEnd"/>
      <w:r w:rsidRPr="0076378A">
        <w:rPr>
          <w:rFonts w:ascii="Times New Roman" w:hAnsi="Times New Roman" w:cs="Times New Roman"/>
          <w:sz w:val="28"/>
          <w:szCs w:val="28"/>
        </w:rPr>
        <w:t xml:space="preserve"> sia esterovestita, principalmente </w:t>
      </w:r>
      <w:proofErr w:type="spellStart"/>
      <w:r w:rsidRPr="0076378A">
        <w:rPr>
          <w:rFonts w:ascii="Times New Roman" w:hAnsi="Times New Roman" w:cs="Times New Roman"/>
          <w:sz w:val="28"/>
          <w:szCs w:val="28"/>
        </w:rPr>
        <w:t>perchè</w:t>
      </w:r>
      <w:proofErr w:type="spellEnd"/>
      <w:r w:rsidRPr="0076378A">
        <w:rPr>
          <w:rFonts w:ascii="Times New Roman" w:hAnsi="Times New Roman" w:cs="Times New Roman"/>
          <w:sz w:val="28"/>
          <w:szCs w:val="28"/>
        </w:rPr>
        <w:t xml:space="preserve"> le direttive imprenditoriali provengono sempre dalle società italiane. </w:t>
      </w:r>
      <w:r w:rsidR="00880B4D" w:rsidRPr="0076378A">
        <w:rPr>
          <w:rFonts w:ascii="Times New Roman" w:hAnsi="Times New Roman" w:cs="Times New Roman"/>
          <w:sz w:val="28"/>
          <w:szCs w:val="28"/>
        </w:rPr>
        <w:t>Secondo l’Amministrazione finanziaria il collocamento della sede in Lussemburgo ha il solo scopo di far cons</w:t>
      </w:r>
      <w:r w:rsidR="00E54137">
        <w:rPr>
          <w:rFonts w:ascii="Times New Roman" w:hAnsi="Times New Roman" w:cs="Times New Roman"/>
          <w:sz w:val="28"/>
          <w:szCs w:val="28"/>
        </w:rPr>
        <w:t>e</w:t>
      </w:r>
      <w:r w:rsidR="00880B4D" w:rsidRPr="0076378A">
        <w:rPr>
          <w:rFonts w:ascii="Times New Roman" w:hAnsi="Times New Roman" w:cs="Times New Roman"/>
          <w:sz w:val="28"/>
          <w:szCs w:val="28"/>
        </w:rPr>
        <w:t>guire al gruppo, e in particolare ai soci italiani, un notevole risparmio fiscale.</w:t>
      </w:r>
    </w:p>
    <w:p w14:paraId="5687439D" w14:textId="77777777" w:rsidR="007803EB" w:rsidRPr="0076378A" w:rsidRDefault="007803EB" w:rsidP="00573DC6">
      <w:pPr>
        <w:jc w:val="both"/>
        <w:rPr>
          <w:rFonts w:ascii="Times New Roman" w:hAnsi="Times New Roman" w:cs="Times New Roman"/>
          <w:sz w:val="28"/>
          <w:szCs w:val="28"/>
        </w:rPr>
      </w:pPr>
    </w:p>
    <w:p w14:paraId="00DEEF8E" w14:textId="2EC85590" w:rsidR="00573DC6" w:rsidRPr="0076378A" w:rsidRDefault="00573DC6" w:rsidP="00573DC6">
      <w:pPr>
        <w:jc w:val="both"/>
        <w:rPr>
          <w:rFonts w:ascii="Times New Roman" w:hAnsi="Times New Roman" w:cs="Times New Roman"/>
          <w:b/>
          <w:bCs/>
          <w:sz w:val="28"/>
          <w:szCs w:val="28"/>
        </w:rPr>
      </w:pPr>
      <w:r w:rsidRPr="0076378A">
        <w:rPr>
          <w:rFonts w:ascii="Times New Roman" w:hAnsi="Times New Roman" w:cs="Times New Roman"/>
          <w:b/>
          <w:bCs/>
          <w:sz w:val="28"/>
          <w:szCs w:val="28"/>
        </w:rPr>
        <w:t>Q</w:t>
      </w:r>
      <w:r w:rsidR="008D504C" w:rsidRPr="0076378A">
        <w:rPr>
          <w:rFonts w:ascii="Times New Roman" w:hAnsi="Times New Roman" w:cs="Times New Roman"/>
          <w:b/>
          <w:bCs/>
          <w:sz w:val="28"/>
          <w:szCs w:val="28"/>
        </w:rPr>
        <w:t>uesito</w:t>
      </w:r>
    </w:p>
    <w:p w14:paraId="117B05F4" w14:textId="7F5947B2" w:rsidR="00880B4D" w:rsidRPr="0076378A" w:rsidRDefault="00880B4D" w:rsidP="00880B4D">
      <w:pPr>
        <w:jc w:val="both"/>
        <w:rPr>
          <w:rFonts w:ascii="Times New Roman" w:hAnsi="Times New Roman" w:cs="Times New Roman"/>
          <w:sz w:val="28"/>
          <w:szCs w:val="28"/>
        </w:rPr>
      </w:pPr>
      <w:r w:rsidRPr="0076378A">
        <w:rPr>
          <w:rFonts w:ascii="Times New Roman" w:hAnsi="Times New Roman" w:cs="Times New Roman"/>
          <w:sz w:val="28"/>
          <w:szCs w:val="28"/>
        </w:rPr>
        <w:lastRenderedPageBreak/>
        <w:t>Sulla base del concetto di “direzione effettiva”, cosa può sostenere</w:t>
      </w:r>
      <w:r w:rsidR="00E54137">
        <w:rPr>
          <w:rFonts w:ascii="Times New Roman" w:hAnsi="Times New Roman" w:cs="Times New Roman"/>
          <w:sz w:val="28"/>
          <w:szCs w:val="28"/>
        </w:rPr>
        <w:t xml:space="preserve"> </w:t>
      </w:r>
      <w:proofErr w:type="spellStart"/>
      <w:r w:rsidRPr="0076378A">
        <w:rPr>
          <w:rFonts w:ascii="Times New Roman" w:hAnsi="Times New Roman" w:cs="Times New Roman"/>
          <w:sz w:val="28"/>
          <w:szCs w:val="28"/>
        </w:rPr>
        <w:t>Gado</w:t>
      </w:r>
      <w:proofErr w:type="spellEnd"/>
      <w:r w:rsidRPr="0076378A">
        <w:rPr>
          <w:rFonts w:ascii="Times New Roman" w:hAnsi="Times New Roman" w:cs="Times New Roman"/>
          <w:sz w:val="28"/>
          <w:szCs w:val="28"/>
        </w:rPr>
        <w:t xml:space="preserve"> per essere considerate effettivamente residente in Lussemburgo?</w:t>
      </w:r>
    </w:p>
    <w:p w14:paraId="0398CAEB" w14:textId="23446247" w:rsidR="00573DC6" w:rsidRPr="00880B4D" w:rsidRDefault="00573DC6" w:rsidP="00880B4D">
      <w:pPr>
        <w:jc w:val="both"/>
        <w:rPr>
          <w:rFonts w:ascii="Times New Roman" w:hAnsi="Times New Roman" w:cs="Times New Roman"/>
          <w:sz w:val="28"/>
          <w:szCs w:val="28"/>
          <w:lang w:val="en-US"/>
        </w:rPr>
      </w:pPr>
      <w:proofErr w:type="spellStart"/>
      <w:r w:rsidRPr="00880B4D">
        <w:rPr>
          <w:rFonts w:ascii="Times New Roman" w:hAnsi="Times New Roman" w:cs="Times New Roman"/>
          <w:b/>
          <w:bCs/>
          <w:sz w:val="28"/>
          <w:szCs w:val="28"/>
          <w:lang w:val="en-US"/>
        </w:rPr>
        <w:t>Material</w:t>
      </w:r>
      <w:r w:rsidR="008D504C" w:rsidRPr="00880B4D">
        <w:rPr>
          <w:rFonts w:ascii="Times New Roman" w:hAnsi="Times New Roman" w:cs="Times New Roman"/>
          <w:b/>
          <w:bCs/>
          <w:sz w:val="28"/>
          <w:szCs w:val="28"/>
          <w:lang w:val="en-US"/>
        </w:rPr>
        <w:t>i</w:t>
      </w:r>
      <w:proofErr w:type="spellEnd"/>
    </w:p>
    <w:p w14:paraId="677DC641" w14:textId="77777777" w:rsidR="00880B4D" w:rsidRPr="00880B4D" w:rsidRDefault="00880B4D" w:rsidP="00880B4D">
      <w:pPr>
        <w:pStyle w:val="Paragrafoelenco"/>
        <w:ind w:left="360"/>
        <w:jc w:val="both"/>
        <w:rPr>
          <w:rFonts w:ascii="Times New Roman" w:hAnsi="Times New Roman" w:cs="Times New Roman"/>
          <w:sz w:val="28"/>
          <w:szCs w:val="28"/>
          <w:lang w:val="en-US"/>
        </w:rPr>
      </w:pPr>
    </w:p>
    <w:p w14:paraId="7BC5B654" w14:textId="49C318AC" w:rsidR="00573DC6" w:rsidRPr="0076378A" w:rsidRDefault="00880B4D" w:rsidP="00880B4D">
      <w:pPr>
        <w:pStyle w:val="Paragrafoelenco"/>
        <w:numPr>
          <w:ilvl w:val="0"/>
          <w:numId w:val="1"/>
        </w:numPr>
        <w:ind w:left="284" w:hanging="284"/>
        <w:jc w:val="both"/>
        <w:rPr>
          <w:rFonts w:ascii="Times New Roman" w:hAnsi="Times New Roman" w:cs="Times New Roman"/>
          <w:sz w:val="28"/>
          <w:szCs w:val="28"/>
        </w:rPr>
      </w:pPr>
      <w:r w:rsidRPr="0076378A">
        <w:rPr>
          <w:rFonts w:ascii="Times New Roman" w:hAnsi="Times New Roman" w:cs="Times New Roman"/>
          <w:sz w:val="28"/>
          <w:szCs w:val="28"/>
        </w:rPr>
        <w:t xml:space="preserve">Convenzione contro le doppie imposizioni Italia – Lussemburgo </w:t>
      </w:r>
    </w:p>
    <w:p w14:paraId="2BE5101D" w14:textId="0F213F60" w:rsidR="00573DC6" w:rsidRPr="0076378A" w:rsidRDefault="00573DC6" w:rsidP="00880B4D">
      <w:pPr>
        <w:pStyle w:val="Paragrafoelenco"/>
        <w:numPr>
          <w:ilvl w:val="0"/>
          <w:numId w:val="1"/>
        </w:numPr>
        <w:ind w:left="360"/>
        <w:jc w:val="both"/>
        <w:rPr>
          <w:rFonts w:ascii="Times New Roman" w:hAnsi="Times New Roman" w:cs="Times New Roman"/>
          <w:i/>
          <w:iCs/>
          <w:sz w:val="28"/>
          <w:szCs w:val="28"/>
        </w:rPr>
      </w:pPr>
      <w:r w:rsidRPr="0076378A">
        <w:rPr>
          <w:rFonts w:ascii="Times New Roman" w:hAnsi="Times New Roman" w:cs="Times New Roman"/>
          <w:sz w:val="28"/>
          <w:szCs w:val="28"/>
        </w:rPr>
        <w:t xml:space="preserve">Art. </w:t>
      </w:r>
      <w:r w:rsidR="007803EB" w:rsidRPr="0076378A">
        <w:rPr>
          <w:rFonts w:ascii="Times New Roman" w:hAnsi="Times New Roman" w:cs="Times New Roman"/>
          <w:sz w:val="28"/>
          <w:szCs w:val="28"/>
        </w:rPr>
        <w:t>73</w:t>
      </w:r>
      <w:r w:rsidRPr="0076378A">
        <w:rPr>
          <w:rFonts w:ascii="Times New Roman" w:hAnsi="Times New Roman" w:cs="Times New Roman"/>
          <w:sz w:val="28"/>
          <w:szCs w:val="28"/>
        </w:rPr>
        <w:t xml:space="preserve"> TUIR</w:t>
      </w:r>
      <w:r w:rsidR="00880B4D" w:rsidRPr="0076378A">
        <w:rPr>
          <w:rFonts w:ascii="Times New Roman" w:hAnsi="Times New Roman" w:cs="Times New Roman"/>
          <w:sz w:val="28"/>
          <w:szCs w:val="28"/>
        </w:rPr>
        <w:t xml:space="preserve"> </w:t>
      </w:r>
      <w:r w:rsidRPr="0076378A">
        <w:rPr>
          <w:rFonts w:ascii="Times New Roman" w:hAnsi="Times New Roman" w:cs="Times New Roman"/>
          <w:sz w:val="28"/>
          <w:szCs w:val="28"/>
        </w:rPr>
        <w:t xml:space="preserve">(D.P.R. </w:t>
      </w:r>
      <w:proofErr w:type="spellStart"/>
      <w:r w:rsidRPr="0076378A">
        <w:rPr>
          <w:rFonts w:ascii="Times New Roman" w:hAnsi="Times New Roman" w:cs="Times New Roman"/>
          <w:sz w:val="28"/>
          <w:szCs w:val="28"/>
        </w:rPr>
        <w:t>December</w:t>
      </w:r>
      <w:proofErr w:type="spellEnd"/>
      <w:r w:rsidRPr="0076378A">
        <w:rPr>
          <w:rFonts w:ascii="Times New Roman" w:hAnsi="Times New Roman" w:cs="Times New Roman"/>
          <w:sz w:val="28"/>
          <w:szCs w:val="28"/>
        </w:rPr>
        <w:t xml:space="preserve"> 22, 1986, no. 917)</w:t>
      </w:r>
      <w:r w:rsidR="00396BA6" w:rsidRPr="0076378A">
        <w:rPr>
          <w:rFonts w:ascii="Times New Roman" w:hAnsi="Times New Roman" w:cs="Times New Roman"/>
          <w:sz w:val="28"/>
          <w:szCs w:val="28"/>
        </w:rPr>
        <w:t xml:space="preserve"> stabilisce, per quanto qui rilevante, che </w:t>
      </w:r>
      <w:r w:rsidRPr="0076378A">
        <w:rPr>
          <w:rFonts w:ascii="Times New Roman" w:hAnsi="Times New Roman" w:cs="Times New Roman"/>
          <w:sz w:val="28"/>
          <w:szCs w:val="28"/>
        </w:rPr>
        <w:t>“</w:t>
      </w:r>
      <w:r w:rsidR="00880B4D" w:rsidRPr="0076378A">
        <w:rPr>
          <w:rFonts w:ascii="Times New Roman" w:hAnsi="Times New Roman" w:cs="Times New Roman"/>
          <w:i/>
          <w:iCs/>
          <w:sz w:val="28"/>
          <w:szCs w:val="28"/>
        </w:rPr>
        <w:t>Ai fini delle imposte sui redditi si considerano residenti le società e gli enti che per la maggior parte del periodo di imposta hanno nel territorio dello Stato la sede legale o la sede di direzione effettiva o la gestione ordinaria in via principale. Per sede di direzione effettiva si intende la continua e coordinata assunzione delle decisioni strategiche riguardanti la società o l'ente nel suo complesso. Per gestione ordinaria si intende il continuo e coordinato compimento degli atti della gestione corrente riguardanti la società o l'ente nel suo compless</w:t>
      </w:r>
      <w:r w:rsidR="00880B4D" w:rsidRPr="0076378A">
        <w:rPr>
          <w:rFonts w:ascii="Times New Roman" w:hAnsi="Times New Roman" w:cs="Times New Roman"/>
          <w:sz w:val="28"/>
          <w:szCs w:val="28"/>
        </w:rPr>
        <w:t>o</w:t>
      </w:r>
      <w:r w:rsidRPr="0076378A">
        <w:rPr>
          <w:rFonts w:ascii="Times New Roman" w:hAnsi="Times New Roman" w:cs="Times New Roman"/>
          <w:sz w:val="28"/>
          <w:szCs w:val="28"/>
        </w:rPr>
        <w:t>”</w:t>
      </w:r>
    </w:p>
    <w:p w14:paraId="7C5CA900" w14:textId="77777777" w:rsidR="00573DC6" w:rsidRPr="0076378A" w:rsidRDefault="00573DC6" w:rsidP="00573DC6">
      <w:pPr>
        <w:ind w:left="360"/>
        <w:jc w:val="both"/>
        <w:rPr>
          <w:rFonts w:ascii="Times New Roman" w:hAnsi="Times New Roman" w:cs="Times New Roman"/>
          <w:b/>
          <w:bCs/>
          <w:sz w:val="28"/>
          <w:szCs w:val="28"/>
        </w:rPr>
      </w:pPr>
    </w:p>
    <w:p w14:paraId="6F52D386" w14:textId="12CC5BE1" w:rsidR="00573DC6" w:rsidRPr="0076378A" w:rsidRDefault="008D504C" w:rsidP="00573DC6">
      <w:pPr>
        <w:jc w:val="both"/>
        <w:rPr>
          <w:rFonts w:ascii="Times New Roman" w:hAnsi="Times New Roman" w:cs="Times New Roman"/>
          <w:b/>
          <w:bCs/>
          <w:sz w:val="28"/>
          <w:szCs w:val="28"/>
        </w:rPr>
      </w:pPr>
      <w:r w:rsidRPr="0076378A">
        <w:rPr>
          <w:rFonts w:ascii="Times New Roman" w:hAnsi="Times New Roman" w:cs="Times New Roman"/>
          <w:b/>
          <w:bCs/>
          <w:sz w:val="28"/>
          <w:szCs w:val="28"/>
        </w:rPr>
        <w:t>Quadro di riferimento</w:t>
      </w:r>
    </w:p>
    <w:p w14:paraId="5789A78E" w14:textId="3CDCBF74" w:rsidR="00573DC6" w:rsidRPr="0076378A" w:rsidRDefault="00396BA6" w:rsidP="00573DC6">
      <w:pPr>
        <w:jc w:val="both"/>
        <w:rPr>
          <w:rFonts w:ascii="Times New Roman" w:hAnsi="Times New Roman" w:cs="Times New Roman"/>
          <w:sz w:val="28"/>
          <w:szCs w:val="28"/>
        </w:rPr>
      </w:pPr>
      <w:r w:rsidRPr="0076378A">
        <w:rPr>
          <w:rFonts w:ascii="Times New Roman" w:hAnsi="Times New Roman" w:cs="Times New Roman"/>
          <w:sz w:val="28"/>
          <w:szCs w:val="28"/>
        </w:rPr>
        <w:t xml:space="preserve">Rilevanza della nozione di residenza come criterio di </w:t>
      </w:r>
      <w:proofErr w:type="gramStart"/>
      <w:r w:rsidRPr="0076378A">
        <w:rPr>
          <w:rFonts w:ascii="Times New Roman" w:hAnsi="Times New Roman" w:cs="Times New Roman"/>
          <w:sz w:val="28"/>
          <w:szCs w:val="28"/>
        </w:rPr>
        <w:t xml:space="preserve">collegamento  </w:t>
      </w:r>
      <w:r w:rsidR="00880B4D" w:rsidRPr="0076378A">
        <w:rPr>
          <w:rFonts w:ascii="Times New Roman" w:hAnsi="Times New Roman" w:cs="Times New Roman"/>
          <w:sz w:val="28"/>
          <w:szCs w:val="28"/>
        </w:rPr>
        <w:t>per</w:t>
      </w:r>
      <w:proofErr w:type="gramEnd"/>
      <w:r w:rsidR="00880B4D" w:rsidRPr="0076378A">
        <w:rPr>
          <w:rFonts w:ascii="Times New Roman" w:hAnsi="Times New Roman" w:cs="Times New Roman"/>
          <w:sz w:val="28"/>
          <w:szCs w:val="28"/>
        </w:rPr>
        <w:t xml:space="preserve"> le società</w:t>
      </w:r>
    </w:p>
    <w:p w14:paraId="6E46AC9C" w14:textId="7BA98EF1" w:rsidR="00396BA6" w:rsidRPr="0076378A" w:rsidRDefault="00396BA6" w:rsidP="00573DC6">
      <w:pPr>
        <w:jc w:val="both"/>
        <w:rPr>
          <w:rFonts w:ascii="Times New Roman" w:hAnsi="Times New Roman" w:cs="Times New Roman"/>
          <w:sz w:val="28"/>
          <w:szCs w:val="28"/>
        </w:rPr>
      </w:pPr>
      <w:r w:rsidRPr="0076378A">
        <w:rPr>
          <w:rFonts w:ascii="Times New Roman" w:hAnsi="Times New Roman" w:cs="Times New Roman"/>
          <w:sz w:val="28"/>
          <w:szCs w:val="28"/>
        </w:rPr>
        <w:t xml:space="preserve">Analisi della disciplina italiana </w:t>
      </w:r>
    </w:p>
    <w:p w14:paraId="7DCA2A58" w14:textId="379D9B6F" w:rsidR="00880B4D" w:rsidRPr="0076378A" w:rsidRDefault="00880B4D" w:rsidP="00573DC6">
      <w:pPr>
        <w:jc w:val="both"/>
        <w:rPr>
          <w:rFonts w:ascii="Times New Roman" w:hAnsi="Times New Roman" w:cs="Times New Roman"/>
          <w:sz w:val="28"/>
          <w:szCs w:val="28"/>
        </w:rPr>
      </w:pPr>
      <w:r w:rsidRPr="0076378A">
        <w:rPr>
          <w:rFonts w:ascii="Times New Roman" w:hAnsi="Times New Roman" w:cs="Times New Roman"/>
          <w:sz w:val="28"/>
          <w:szCs w:val="28"/>
        </w:rPr>
        <w:t>Il conce</w:t>
      </w:r>
      <w:r w:rsidR="00E54137">
        <w:rPr>
          <w:rFonts w:ascii="Times New Roman" w:hAnsi="Times New Roman" w:cs="Times New Roman"/>
          <w:sz w:val="28"/>
          <w:szCs w:val="28"/>
        </w:rPr>
        <w:t>t</w:t>
      </w:r>
      <w:r w:rsidRPr="0076378A">
        <w:rPr>
          <w:rFonts w:ascii="Times New Roman" w:hAnsi="Times New Roman" w:cs="Times New Roman"/>
          <w:sz w:val="28"/>
          <w:szCs w:val="28"/>
        </w:rPr>
        <w:t>to di “esterovestizione”</w:t>
      </w:r>
    </w:p>
    <w:p w14:paraId="75639471" w14:textId="2D601411" w:rsidR="00573DC6" w:rsidRPr="0076378A" w:rsidRDefault="00880B4D" w:rsidP="00573DC6">
      <w:pPr>
        <w:jc w:val="both"/>
        <w:rPr>
          <w:rFonts w:ascii="Times New Roman" w:hAnsi="Times New Roman" w:cs="Times New Roman"/>
          <w:sz w:val="28"/>
          <w:szCs w:val="28"/>
        </w:rPr>
      </w:pPr>
      <w:r w:rsidRPr="0076378A">
        <w:rPr>
          <w:rFonts w:ascii="Times New Roman" w:hAnsi="Times New Roman" w:cs="Times New Roman"/>
          <w:sz w:val="28"/>
          <w:szCs w:val="28"/>
        </w:rPr>
        <w:t>Il trasferimento “fittizio” della sede per conseguire un risparmio fiscale: elementi sintomatici</w:t>
      </w:r>
    </w:p>
    <w:p w14:paraId="40C51E22" w14:textId="1ED2DA04" w:rsidR="00880B4D" w:rsidRPr="0076378A" w:rsidRDefault="00880B4D" w:rsidP="00573DC6">
      <w:pPr>
        <w:jc w:val="both"/>
        <w:rPr>
          <w:rFonts w:ascii="Times New Roman" w:hAnsi="Times New Roman" w:cs="Times New Roman"/>
          <w:sz w:val="28"/>
          <w:szCs w:val="28"/>
        </w:rPr>
      </w:pPr>
      <w:r w:rsidRPr="0076378A">
        <w:rPr>
          <w:rFonts w:ascii="Times New Roman" w:hAnsi="Times New Roman" w:cs="Times New Roman"/>
          <w:sz w:val="28"/>
          <w:szCs w:val="28"/>
        </w:rPr>
        <w:t>Il trasferimento “genuino” della sede: gli elementi che il contribuente può offrire</w:t>
      </w:r>
    </w:p>
    <w:p w14:paraId="6FE59E70" w14:textId="77777777" w:rsidR="00880B4D" w:rsidRPr="0076378A" w:rsidRDefault="00880B4D" w:rsidP="00573DC6">
      <w:pPr>
        <w:jc w:val="both"/>
        <w:rPr>
          <w:rFonts w:ascii="Times New Roman" w:hAnsi="Times New Roman" w:cs="Times New Roman"/>
          <w:b/>
          <w:bCs/>
          <w:sz w:val="28"/>
          <w:szCs w:val="28"/>
        </w:rPr>
      </w:pPr>
    </w:p>
    <w:p w14:paraId="1823D1FE" w14:textId="1A02939D" w:rsidR="0032464C" w:rsidRPr="0076378A" w:rsidRDefault="008D504C" w:rsidP="00573DC6">
      <w:pPr>
        <w:jc w:val="both"/>
        <w:rPr>
          <w:rFonts w:ascii="Times New Roman" w:hAnsi="Times New Roman" w:cs="Times New Roman"/>
          <w:b/>
          <w:bCs/>
          <w:sz w:val="28"/>
          <w:szCs w:val="28"/>
        </w:rPr>
      </w:pPr>
      <w:r w:rsidRPr="0076378A">
        <w:rPr>
          <w:rFonts w:ascii="Times New Roman" w:hAnsi="Times New Roman" w:cs="Times New Roman"/>
          <w:b/>
          <w:bCs/>
          <w:sz w:val="28"/>
          <w:szCs w:val="28"/>
        </w:rPr>
        <w:t>Analisi e sviluppo del caso pratico</w:t>
      </w:r>
    </w:p>
    <w:sectPr w:rsidR="0032464C" w:rsidRPr="0076378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77D7D"/>
    <w:multiLevelType w:val="hybridMultilevel"/>
    <w:tmpl w:val="7722C682"/>
    <w:lvl w:ilvl="0" w:tplc="3478367A">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5BE53327"/>
    <w:multiLevelType w:val="hybridMultilevel"/>
    <w:tmpl w:val="1270A67C"/>
    <w:lvl w:ilvl="0" w:tplc="3DA8B05A">
      <w:start w:val="1"/>
      <w:numFmt w:val="upp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384989726">
    <w:abstractNumId w:val="0"/>
  </w:num>
  <w:num w:numId="2" w16cid:durableId="919096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B48"/>
    <w:rsid w:val="00243431"/>
    <w:rsid w:val="0032464C"/>
    <w:rsid w:val="00396BA6"/>
    <w:rsid w:val="003B5B48"/>
    <w:rsid w:val="00573DC6"/>
    <w:rsid w:val="0076378A"/>
    <w:rsid w:val="007803EB"/>
    <w:rsid w:val="00880B4D"/>
    <w:rsid w:val="008D504C"/>
    <w:rsid w:val="00A44AF0"/>
    <w:rsid w:val="00AB4B08"/>
    <w:rsid w:val="00B82483"/>
    <w:rsid w:val="00D25118"/>
    <w:rsid w:val="00D62874"/>
    <w:rsid w:val="00D77F9B"/>
    <w:rsid w:val="00E50D44"/>
    <w:rsid w:val="00E541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A8CAC"/>
  <w15:chartTrackingRefBased/>
  <w15:docId w15:val="{CE1F04FA-4D81-4533-AEEE-6F1CEA6F9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3B5B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3B5B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3B5B48"/>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3B5B48"/>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3B5B48"/>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3B5B48"/>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3B5B48"/>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3B5B48"/>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3B5B4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B5B48"/>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3B5B48"/>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3B5B48"/>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3B5B48"/>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3B5B48"/>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3B5B4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3B5B4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3B5B4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3B5B48"/>
    <w:rPr>
      <w:rFonts w:eastAsiaTheme="majorEastAsia" w:cstheme="majorBidi"/>
      <w:color w:val="272727" w:themeColor="text1" w:themeTint="D8"/>
    </w:rPr>
  </w:style>
  <w:style w:type="paragraph" w:styleId="Titolo">
    <w:name w:val="Title"/>
    <w:basedOn w:val="Normale"/>
    <w:next w:val="Normale"/>
    <w:link w:val="TitoloCarattere"/>
    <w:uiPriority w:val="10"/>
    <w:qFormat/>
    <w:rsid w:val="003B5B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B5B4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3B5B48"/>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3B5B4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3B5B4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3B5B48"/>
    <w:rPr>
      <w:i/>
      <w:iCs/>
      <w:color w:val="404040" w:themeColor="text1" w:themeTint="BF"/>
    </w:rPr>
  </w:style>
  <w:style w:type="paragraph" w:styleId="Paragrafoelenco">
    <w:name w:val="List Paragraph"/>
    <w:basedOn w:val="Normale"/>
    <w:uiPriority w:val="34"/>
    <w:qFormat/>
    <w:rsid w:val="003B5B48"/>
    <w:pPr>
      <w:ind w:left="720"/>
      <w:contextualSpacing/>
    </w:pPr>
  </w:style>
  <w:style w:type="character" w:styleId="Enfasiintensa">
    <w:name w:val="Intense Emphasis"/>
    <w:basedOn w:val="Carpredefinitoparagrafo"/>
    <w:uiPriority w:val="21"/>
    <w:qFormat/>
    <w:rsid w:val="003B5B48"/>
    <w:rPr>
      <w:i/>
      <w:iCs/>
      <w:color w:val="2F5496" w:themeColor="accent1" w:themeShade="BF"/>
    </w:rPr>
  </w:style>
  <w:style w:type="paragraph" w:styleId="Citazioneintensa">
    <w:name w:val="Intense Quote"/>
    <w:basedOn w:val="Normale"/>
    <w:next w:val="Normale"/>
    <w:link w:val="CitazioneintensaCarattere"/>
    <w:uiPriority w:val="30"/>
    <w:qFormat/>
    <w:rsid w:val="003B5B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3B5B48"/>
    <w:rPr>
      <w:i/>
      <w:iCs/>
      <w:color w:val="2F5496" w:themeColor="accent1" w:themeShade="BF"/>
    </w:rPr>
  </w:style>
  <w:style w:type="character" w:styleId="Riferimentointenso">
    <w:name w:val="Intense Reference"/>
    <w:basedOn w:val="Carpredefinitoparagrafo"/>
    <w:uiPriority w:val="32"/>
    <w:qFormat/>
    <w:rsid w:val="003B5B4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544</Words>
  <Characters>3102</Characters>
  <Application>Microsoft Office Word</Application>
  <DocSecurity>0</DocSecurity>
  <Lines>25</Lines>
  <Paragraphs>7</Paragraphs>
  <ScaleCrop>false</ScaleCrop>
  <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Giorgi</dc:creator>
  <cp:keywords/>
  <dc:description/>
  <cp:lastModifiedBy>Lorenzo del Federico</cp:lastModifiedBy>
  <cp:revision>10</cp:revision>
  <dcterms:created xsi:type="dcterms:W3CDTF">2025-04-09T11:36:00Z</dcterms:created>
  <dcterms:modified xsi:type="dcterms:W3CDTF">2025-05-05T10:45:00Z</dcterms:modified>
</cp:coreProperties>
</file>