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873DF2" w14:textId="2810B100" w:rsidR="00975E64" w:rsidRDefault="00975E64" w:rsidP="00573DC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CASO PRATICO n. 2</w:t>
      </w:r>
    </w:p>
    <w:p w14:paraId="2A3B214B" w14:textId="196D6334" w:rsidR="00975E64" w:rsidRDefault="00975E64" w:rsidP="00573DC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RESIDENZA CAMPIONE SPRTIVO PARADISI FISCALI</w:t>
      </w:r>
    </w:p>
    <w:p w14:paraId="2F6390F6" w14:textId="1EFEF199" w:rsidR="00573DC6" w:rsidRPr="00975E64" w:rsidRDefault="00573DC6" w:rsidP="00573DC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75E64">
        <w:rPr>
          <w:rFonts w:ascii="Times New Roman" w:hAnsi="Times New Roman" w:cs="Times New Roman"/>
          <w:b/>
          <w:bCs/>
          <w:sz w:val="28"/>
          <w:szCs w:val="28"/>
        </w:rPr>
        <w:t>Intro</w:t>
      </w:r>
      <w:r w:rsidR="008D504C" w:rsidRPr="00975E64">
        <w:rPr>
          <w:rFonts w:ascii="Times New Roman" w:hAnsi="Times New Roman" w:cs="Times New Roman"/>
          <w:b/>
          <w:bCs/>
          <w:sz w:val="28"/>
          <w:szCs w:val="28"/>
        </w:rPr>
        <w:t xml:space="preserve">duzione </w:t>
      </w:r>
    </w:p>
    <w:p w14:paraId="40D5D9FF" w14:textId="77777777" w:rsidR="008D504C" w:rsidRPr="005B1CA9" w:rsidRDefault="008D504C" w:rsidP="00573DC6">
      <w:pPr>
        <w:jc w:val="both"/>
        <w:rPr>
          <w:rFonts w:ascii="Times New Roman" w:hAnsi="Times New Roman" w:cs="Times New Roman"/>
          <w:sz w:val="28"/>
          <w:szCs w:val="28"/>
        </w:rPr>
      </w:pPr>
      <w:r w:rsidRPr="005B1CA9">
        <w:rPr>
          <w:rFonts w:ascii="Times New Roman" w:hAnsi="Times New Roman" w:cs="Times New Roman"/>
          <w:sz w:val="28"/>
          <w:szCs w:val="28"/>
        </w:rPr>
        <w:t xml:space="preserve">La residenza è un criterio di collegamento fondamentale nella fiscalità internazionale per determinare lo Stato legittimato a esercitare il potere impositivo, nei casi in cui la situazione presenti elementi di estraneità (ad esempio, una persona fisica è residente nello Stato A ma svolge attività lavorativa nello Stato B). </w:t>
      </w:r>
    </w:p>
    <w:p w14:paraId="5F6C5EBC" w14:textId="4200F16C" w:rsidR="00573DC6" w:rsidRPr="005B1CA9" w:rsidRDefault="008D504C" w:rsidP="00573DC6">
      <w:pPr>
        <w:jc w:val="both"/>
        <w:rPr>
          <w:rFonts w:ascii="Times New Roman" w:hAnsi="Times New Roman" w:cs="Times New Roman"/>
          <w:sz w:val="28"/>
          <w:szCs w:val="28"/>
        </w:rPr>
      </w:pPr>
      <w:r w:rsidRPr="005B1CA9">
        <w:rPr>
          <w:rFonts w:ascii="Times New Roman" w:hAnsi="Times New Roman" w:cs="Times New Roman"/>
          <w:sz w:val="28"/>
          <w:szCs w:val="28"/>
        </w:rPr>
        <w:t>Sportivi e artisti spesso cambiano la propria residenza. Talvolta ciò accade effettivamente, per ragioni connesse alle peculiarità del proprio Lavoro (si pensi ai calciatori, agli attori, ai cantant</w:t>
      </w:r>
      <w:r w:rsidR="005B1CA9">
        <w:rPr>
          <w:rFonts w:ascii="Times New Roman" w:hAnsi="Times New Roman" w:cs="Times New Roman"/>
          <w:sz w:val="28"/>
          <w:szCs w:val="28"/>
        </w:rPr>
        <w:t>i</w:t>
      </w:r>
      <w:r w:rsidRPr="005B1CA9">
        <w:rPr>
          <w:rFonts w:ascii="Times New Roman" w:hAnsi="Times New Roman" w:cs="Times New Roman"/>
          <w:sz w:val="28"/>
          <w:szCs w:val="28"/>
        </w:rPr>
        <w:t xml:space="preserve"> …). Talvolta ciò accade per ragioni di mero risparmio fiscale. </w:t>
      </w:r>
    </w:p>
    <w:p w14:paraId="3694A94B" w14:textId="0BACBD8B" w:rsidR="00396BA6" w:rsidRPr="005B1CA9" w:rsidRDefault="00396BA6" w:rsidP="00573DC6">
      <w:pPr>
        <w:jc w:val="both"/>
        <w:rPr>
          <w:rFonts w:ascii="Times New Roman" w:hAnsi="Times New Roman" w:cs="Times New Roman"/>
          <w:sz w:val="28"/>
          <w:szCs w:val="28"/>
        </w:rPr>
      </w:pPr>
      <w:r w:rsidRPr="005B1CA9">
        <w:rPr>
          <w:rFonts w:ascii="Times New Roman" w:hAnsi="Times New Roman" w:cs="Times New Roman"/>
          <w:sz w:val="28"/>
          <w:szCs w:val="28"/>
        </w:rPr>
        <w:t>La disciplina italiana prevede una disposizione specifica nel caso in cui un soggetto residente trasferisca la propria residenza in un paese a fiscalità privilegiata: in tali casi opera la presunzione legale di residenza in Italia, salvo prova contraria, che deve essere fornita dal soggetto formalmente residente all’estero.</w:t>
      </w:r>
    </w:p>
    <w:p w14:paraId="280ED58D" w14:textId="7A6338E9" w:rsidR="00396BA6" w:rsidRPr="005B1CA9" w:rsidRDefault="00396BA6" w:rsidP="00573DC6">
      <w:pPr>
        <w:jc w:val="both"/>
        <w:rPr>
          <w:rFonts w:ascii="Times New Roman" w:hAnsi="Times New Roman" w:cs="Times New Roman"/>
          <w:sz w:val="28"/>
          <w:szCs w:val="28"/>
        </w:rPr>
      </w:pPr>
      <w:r w:rsidRPr="005B1CA9">
        <w:rPr>
          <w:rFonts w:ascii="Times New Roman" w:hAnsi="Times New Roman" w:cs="Times New Roman"/>
          <w:sz w:val="28"/>
          <w:szCs w:val="28"/>
        </w:rPr>
        <w:t xml:space="preserve">Il contribuente dovrà, quindi, provare un legame effettivo con lo Stato a fiscalità privilegiata (es. disponibilità di un’abitazione, </w:t>
      </w:r>
      <w:r w:rsidR="005B1CA9" w:rsidRPr="005B1CA9">
        <w:rPr>
          <w:rFonts w:ascii="Times New Roman" w:hAnsi="Times New Roman" w:cs="Times New Roman"/>
          <w:sz w:val="28"/>
          <w:szCs w:val="28"/>
        </w:rPr>
        <w:t>consumi</w:t>
      </w:r>
      <w:r w:rsidRPr="005B1CA9">
        <w:rPr>
          <w:rFonts w:ascii="Times New Roman" w:hAnsi="Times New Roman" w:cs="Times New Roman"/>
          <w:sz w:val="28"/>
          <w:szCs w:val="28"/>
        </w:rPr>
        <w:t xml:space="preserve"> di utenze, legami affettivi, svolgimento attività lavorativa …). </w:t>
      </w:r>
    </w:p>
    <w:p w14:paraId="2039424D" w14:textId="77777777" w:rsidR="00573DC6" w:rsidRPr="005B1CA9" w:rsidRDefault="00573DC6" w:rsidP="00573DC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9BCF3BA" w14:textId="7D6898B3" w:rsidR="00573DC6" w:rsidRPr="005B1CA9" w:rsidRDefault="008D504C" w:rsidP="00573DC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B1CA9">
        <w:rPr>
          <w:rFonts w:ascii="Times New Roman" w:hAnsi="Times New Roman" w:cs="Times New Roman"/>
          <w:b/>
          <w:bCs/>
          <w:sz w:val="28"/>
          <w:szCs w:val="28"/>
        </w:rPr>
        <w:t>Caso Pratico</w:t>
      </w:r>
    </w:p>
    <w:p w14:paraId="7E5B02C5" w14:textId="480711C9" w:rsidR="00396BA6" w:rsidRPr="005B1CA9" w:rsidRDefault="008D504C" w:rsidP="00573DC6">
      <w:pPr>
        <w:jc w:val="both"/>
        <w:rPr>
          <w:rFonts w:ascii="Times New Roman" w:hAnsi="Times New Roman" w:cs="Times New Roman"/>
          <w:sz w:val="28"/>
          <w:szCs w:val="28"/>
        </w:rPr>
      </w:pPr>
      <w:r w:rsidRPr="005B1CA9">
        <w:rPr>
          <w:rFonts w:ascii="Times New Roman" w:hAnsi="Times New Roman" w:cs="Times New Roman"/>
          <w:sz w:val="28"/>
          <w:szCs w:val="28"/>
        </w:rPr>
        <w:t xml:space="preserve">Il campione di tennis </w:t>
      </w:r>
      <w:r w:rsidR="00975E64">
        <w:rPr>
          <w:rFonts w:ascii="Times New Roman" w:hAnsi="Times New Roman" w:cs="Times New Roman"/>
          <w:sz w:val="28"/>
          <w:szCs w:val="28"/>
        </w:rPr>
        <w:t xml:space="preserve">G.Z. </w:t>
      </w:r>
      <w:r w:rsidR="00396BA6" w:rsidRPr="005B1CA9">
        <w:rPr>
          <w:rFonts w:ascii="Times New Roman" w:hAnsi="Times New Roman" w:cs="Times New Roman"/>
          <w:sz w:val="28"/>
          <w:szCs w:val="28"/>
        </w:rPr>
        <w:t xml:space="preserve">trasferisce la propria residenza dall’Italia a Montecarlo (Principato di Monaco), noto per avere un regime particolarmente vantaggioso per l’imposizione sui redditi delle persone fisiche. </w:t>
      </w:r>
    </w:p>
    <w:p w14:paraId="1DB1C0AA" w14:textId="3511A49F" w:rsidR="00396BA6" w:rsidRPr="005B1CA9" w:rsidRDefault="00396BA6" w:rsidP="00573DC6">
      <w:pPr>
        <w:jc w:val="both"/>
        <w:rPr>
          <w:rFonts w:ascii="Times New Roman" w:hAnsi="Times New Roman" w:cs="Times New Roman"/>
          <w:sz w:val="28"/>
          <w:szCs w:val="28"/>
        </w:rPr>
      </w:pPr>
      <w:r w:rsidRPr="005B1CA9">
        <w:rPr>
          <w:rFonts w:ascii="Times New Roman" w:hAnsi="Times New Roman" w:cs="Times New Roman"/>
          <w:sz w:val="28"/>
          <w:szCs w:val="28"/>
        </w:rPr>
        <w:t xml:space="preserve">L’Amministrazione finanziaria italiana ritiene che Sinner debba fornire la prova di essersi trasferito nel Principato di Monaco. Diversamente, opera la presunzione prevista dall’art. 2 TUIR, comma 2-bis, secondo cui il contribuente si presume residente in Italia. </w:t>
      </w:r>
    </w:p>
    <w:p w14:paraId="00DEEF8E" w14:textId="40268E8C" w:rsidR="00573DC6" w:rsidRPr="00573DC6" w:rsidRDefault="00573DC6" w:rsidP="00573DC6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573DC6">
        <w:rPr>
          <w:rFonts w:ascii="Times New Roman" w:hAnsi="Times New Roman" w:cs="Times New Roman"/>
          <w:b/>
          <w:bCs/>
          <w:sz w:val="28"/>
          <w:szCs w:val="28"/>
          <w:lang w:val="en-US"/>
        </w:rPr>
        <w:t>Q</w:t>
      </w:r>
      <w:r w:rsidR="008D504C">
        <w:rPr>
          <w:rFonts w:ascii="Times New Roman" w:hAnsi="Times New Roman" w:cs="Times New Roman"/>
          <w:b/>
          <w:bCs/>
          <w:sz w:val="28"/>
          <w:szCs w:val="28"/>
          <w:lang w:val="en-US"/>
        </w:rPr>
        <w:t>uesito</w:t>
      </w:r>
    </w:p>
    <w:p w14:paraId="747E7118" w14:textId="5EB0C7E2" w:rsidR="00573DC6" w:rsidRDefault="00396BA6" w:rsidP="00573DC6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Si immagini:</w:t>
      </w:r>
    </w:p>
    <w:p w14:paraId="6341B43F" w14:textId="73083205" w:rsidR="00396BA6" w:rsidRPr="005B1CA9" w:rsidRDefault="00396BA6" w:rsidP="00396BA6">
      <w:pPr>
        <w:pStyle w:val="Paragrafoelenco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1CA9">
        <w:rPr>
          <w:rFonts w:ascii="Times New Roman" w:hAnsi="Times New Roman" w:cs="Times New Roman"/>
          <w:sz w:val="28"/>
          <w:szCs w:val="28"/>
        </w:rPr>
        <w:t xml:space="preserve">La prova che </w:t>
      </w:r>
      <w:r w:rsidR="00975E64">
        <w:rPr>
          <w:rFonts w:ascii="Times New Roman" w:hAnsi="Times New Roman" w:cs="Times New Roman"/>
          <w:sz w:val="28"/>
          <w:szCs w:val="28"/>
        </w:rPr>
        <w:t>G. Z.</w:t>
      </w:r>
      <w:r w:rsidRPr="005B1CA9">
        <w:rPr>
          <w:rFonts w:ascii="Times New Roman" w:hAnsi="Times New Roman" w:cs="Times New Roman"/>
          <w:sz w:val="28"/>
          <w:szCs w:val="28"/>
        </w:rPr>
        <w:t xml:space="preserve"> dovrà fornire all’Amministrazione finanziaria italiana per dimostrare di essere effettivamente residente nel Principato di Monaco, ipotizzando di vestire i panni del difensore del tennista. </w:t>
      </w:r>
    </w:p>
    <w:p w14:paraId="146A49EF" w14:textId="77777777" w:rsidR="00396BA6" w:rsidRDefault="00396BA6" w:rsidP="00573DC6">
      <w:pPr>
        <w:pStyle w:val="Paragrafoelenco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1CA9">
        <w:rPr>
          <w:rFonts w:ascii="Times New Roman" w:hAnsi="Times New Roman" w:cs="Times New Roman"/>
          <w:sz w:val="28"/>
          <w:szCs w:val="28"/>
        </w:rPr>
        <w:t>Che il tennista, prima di trasferirsi nel Principato di Monaco, trasferisca la propria residenza per un anno in Germania. Opera ugualmente la presunzione di cui all’art. 2 TUIR, comma 2-bis?</w:t>
      </w:r>
    </w:p>
    <w:p w14:paraId="238E3E91" w14:textId="6C42DD73" w:rsidR="00975E64" w:rsidRPr="005B1CA9" w:rsidRDefault="00975E64" w:rsidP="00573DC6">
      <w:pPr>
        <w:pStyle w:val="Paragrafoelenco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In caso di trasferimento “ponte” della residenza in Germania possono configurarsi, a seconda delle circostanze concrete, tre diverse soluzioni: residenza fittizia, residenza reale e genuina, residenza ottenuta mediante comportamenti elusivi. Si illustrino le tre differenti ipotesi con dati di fantasia</w:t>
      </w:r>
    </w:p>
    <w:p w14:paraId="0E390AF1" w14:textId="77777777" w:rsidR="00396BA6" w:rsidRPr="005B1CA9" w:rsidRDefault="00396BA6" w:rsidP="00396BA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656F818" w14:textId="77777777" w:rsidR="00396BA6" w:rsidRPr="005B1CA9" w:rsidRDefault="00396BA6" w:rsidP="00396BA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398CAEB" w14:textId="3D656816" w:rsidR="00573DC6" w:rsidRPr="00396BA6" w:rsidRDefault="00573DC6" w:rsidP="00396BA6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96BA6">
        <w:rPr>
          <w:rFonts w:ascii="Times New Roman" w:hAnsi="Times New Roman" w:cs="Times New Roman"/>
          <w:b/>
          <w:bCs/>
          <w:sz w:val="28"/>
          <w:szCs w:val="28"/>
          <w:lang w:val="en-US"/>
        </w:rPr>
        <w:t>Material</w:t>
      </w:r>
      <w:r w:rsidR="008D504C" w:rsidRPr="00396BA6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</w:p>
    <w:p w14:paraId="7BC5B654" w14:textId="77777777" w:rsidR="00573DC6" w:rsidRPr="00396BA6" w:rsidRDefault="00573DC6" w:rsidP="00396BA6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2BE5101D" w14:textId="0DAE2E4D" w:rsidR="00573DC6" w:rsidRPr="005B1CA9" w:rsidRDefault="00573DC6" w:rsidP="00573DC6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1CA9">
        <w:rPr>
          <w:rFonts w:ascii="Times New Roman" w:hAnsi="Times New Roman" w:cs="Times New Roman"/>
          <w:sz w:val="28"/>
          <w:szCs w:val="28"/>
        </w:rPr>
        <w:t xml:space="preserve">Art. 2 TUIR, </w:t>
      </w:r>
      <w:r w:rsidR="00396BA6" w:rsidRPr="005B1CA9">
        <w:rPr>
          <w:rFonts w:ascii="Times New Roman" w:hAnsi="Times New Roman" w:cs="Times New Roman"/>
          <w:sz w:val="28"/>
          <w:szCs w:val="28"/>
        </w:rPr>
        <w:t xml:space="preserve">comma </w:t>
      </w:r>
      <w:r w:rsidRPr="005B1CA9">
        <w:rPr>
          <w:rFonts w:ascii="Times New Roman" w:hAnsi="Times New Roman" w:cs="Times New Roman"/>
          <w:sz w:val="28"/>
          <w:szCs w:val="28"/>
        </w:rPr>
        <w:t>2</w:t>
      </w:r>
      <w:r w:rsidR="00396BA6" w:rsidRPr="005B1CA9">
        <w:rPr>
          <w:rFonts w:ascii="Times New Roman" w:hAnsi="Times New Roman" w:cs="Times New Roman"/>
          <w:sz w:val="28"/>
          <w:szCs w:val="28"/>
        </w:rPr>
        <w:t>-bis</w:t>
      </w:r>
      <w:r w:rsidRPr="005B1CA9">
        <w:rPr>
          <w:rFonts w:ascii="Times New Roman" w:hAnsi="Times New Roman" w:cs="Times New Roman"/>
          <w:sz w:val="28"/>
          <w:szCs w:val="28"/>
        </w:rPr>
        <w:t xml:space="preserve"> (D.P.R. December 22, 1986, no. 917)</w:t>
      </w:r>
      <w:r w:rsidR="00396BA6" w:rsidRPr="005B1CA9">
        <w:rPr>
          <w:rFonts w:ascii="Times New Roman" w:hAnsi="Times New Roman" w:cs="Times New Roman"/>
          <w:sz w:val="28"/>
          <w:szCs w:val="28"/>
        </w:rPr>
        <w:t xml:space="preserve"> stabilisce, per quanto qui rilevante, che </w:t>
      </w:r>
      <w:r w:rsidRPr="005B1CA9">
        <w:rPr>
          <w:rFonts w:ascii="Times New Roman" w:hAnsi="Times New Roman" w:cs="Times New Roman"/>
          <w:sz w:val="28"/>
          <w:szCs w:val="28"/>
        </w:rPr>
        <w:t>“</w:t>
      </w:r>
      <w:r w:rsidR="00396BA6" w:rsidRPr="005B1CA9">
        <w:rPr>
          <w:rFonts w:ascii="Times New Roman" w:hAnsi="Times New Roman" w:cs="Times New Roman"/>
          <w:i/>
          <w:iCs/>
          <w:sz w:val="28"/>
          <w:szCs w:val="28"/>
        </w:rPr>
        <w:t>Si considerano altresì residenti, salvo prova contraria, i cittadini italiani cancellati dalle anagrafi della popolazione residente e trasferiti in Stati o territori diversi da quelli individuati con decreto del Ministro dell'economia e delle finanze, da pubblicare nella Gazzetta Ufficiale</w:t>
      </w:r>
      <w:r w:rsidRPr="005B1CA9">
        <w:rPr>
          <w:rFonts w:ascii="Times New Roman" w:hAnsi="Times New Roman" w:cs="Times New Roman"/>
          <w:sz w:val="28"/>
          <w:szCs w:val="28"/>
        </w:rPr>
        <w:t>”</w:t>
      </w:r>
    </w:p>
    <w:p w14:paraId="7C5CA900" w14:textId="77777777" w:rsidR="00573DC6" w:rsidRPr="005B1CA9" w:rsidRDefault="00573DC6" w:rsidP="00573DC6">
      <w:pPr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F52D386" w14:textId="12CC5BE1" w:rsidR="00573DC6" w:rsidRPr="005B1CA9" w:rsidRDefault="008D504C" w:rsidP="00573DC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B1CA9">
        <w:rPr>
          <w:rFonts w:ascii="Times New Roman" w:hAnsi="Times New Roman" w:cs="Times New Roman"/>
          <w:b/>
          <w:bCs/>
          <w:sz w:val="28"/>
          <w:szCs w:val="28"/>
        </w:rPr>
        <w:t>Quadro di riferimento</w:t>
      </w:r>
    </w:p>
    <w:p w14:paraId="5789A78E" w14:textId="6BAFEFCE" w:rsidR="00573DC6" w:rsidRPr="005B1CA9" w:rsidRDefault="00396BA6" w:rsidP="00573DC6">
      <w:pPr>
        <w:jc w:val="both"/>
        <w:rPr>
          <w:rFonts w:ascii="Times New Roman" w:hAnsi="Times New Roman" w:cs="Times New Roman"/>
          <w:sz w:val="28"/>
          <w:szCs w:val="28"/>
        </w:rPr>
      </w:pPr>
      <w:r w:rsidRPr="005B1CA9">
        <w:rPr>
          <w:rFonts w:ascii="Times New Roman" w:hAnsi="Times New Roman" w:cs="Times New Roman"/>
          <w:sz w:val="28"/>
          <w:szCs w:val="28"/>
        </w:rPr>
        <w:t xml:space="preserve">Rilevanza della nozione di residenza come criterio di collegamento  </w:t>
      </w:r>
    </w:p>
    <w:p w14:paraId="3C4C96CC" w14:textId="77777777" w:rsidR="00396BA6" w:rsidRPr="005B1CA9" w:rsidRDefault="00396BA6" w:rsidP="00573DC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E46AC9C" w14:textId="40281970" w:rsidR="00396BA6" w:rsidRPr="005B1CA9" w:rsidRDefault="00396BA6" w:rsidP="00573DC6">
      <w:pPr>
        <w:jc w:val="both"/>
        <w:rPr>
          <w:rFonts w:ascii="Times New Roman" w:hAnsi="Times New Roman" w:cs="Times New Roman"/>
          <w:sz w:val="28"/>
          <w:szCs w:val="28"/>
        </w:rPr>
      </w:pPr>
      <w:r w:rsidRPr="005B1CA9">
        <w:rPr>
          <w:rFonts w:ascii="Times New Roman" w:hAnsi="Times New Roman" w:cs="Times New Roman"/>
          <w:sz w:val="28"/>
          <w:szCs w:val="28"/>
        </w:rPr>
        <w:t>Analisi della disciplina italiana con particol</w:t>
      </w:r>
      <w:r w:rsidR="005B1CA9">
        <w:rPr>
          <w:rFonts w:ascii="Times New Roman" w:hAnsi="Times New Roman" w:cs="Times New Roman"/>
          <w:sz w:val="28"/>
          <w:szCs w:val="28"/>
        </w:rPr>
        <w:t>a</w:t>
      </w:r>
      <w:r w:rsidRPr="005B1CA9">
        <w:rPr>
          <w:rFonts w:ascii="Times New Roman" w:hAnsi="Times New Roman" w:cs="Times New Roman"/>
          <w:sz w:val="28"/>
          <w:szCs w:val="28"/>
        </w:rPr>
        <w:t>re riferimento alla presunzione di residenza per I contribuenti che trasferiscono la propria residenza in un paese a fiscalità privilegiata</w:t>
      </w:r>
    </w:p>
    <w:p w14:paraId="05288062" w14:textId="2FCEDAF9" w:rsidR="00573DC6" w:rsidRPr="005B1CA9" w:rsidRDefault="00396BA6" w:rsidP="00573DC6">
      <w:pPr>
        <w:jc w:val="both"/>
        <w:rPr>
          <w:rFonts w:ascii="Times New Roman" w:hAnsi="Times New Roman" w:cs="Times New Roman"/>
          <w:sz w:val="28"/>
          <w:szCs w:val="28"/>
        </w:rPr>
      </w:pPr>
      <w:r w:rsidRPr="005B1CA9">
        <w:rPr>
          <w:rFonts w:ascii="Times New Roman" w:hAnsi="Times New Roman" w:cs="Times New Roman"/>
          <w:sz w:val="28"/>
          <w:szCs w:val="28"/>
        </w:rPr>
        <w:t>La prova contraria richiesta: effettività del trasferimento nel paese a fiscalità privilegiata</w:t>
      </w:r>
    </w:p>
    <w:p w14:paraId="532275B7" w14:textId="1640583A" w:rsidR="00396BA6" w:rsidRPr="005B1CA9" w:rsidRDefault="00396BA6" w:rsidP="00573DC6">
      <w:pPr>
        <w:jc w:val="both"/>
        <w:rPr>
          <w:rFonts w:ascii="Times New Roman" w:hAnsi="Times New Roman" w:cs="Times New Roman"/>
          <w:sz w:val="28"/>
          <w:szCs w:val="28"/>
        </w:rPr>
      </w:pPr>
      <w:r w:rsidRPr="005B1CA9">
        <w:rPr>
          <w:rFonts w:ascii="Times New Roman" w:hAnsi="Times New Roman" w:cs="Times New Roman"/>
          <w:sz w:val="28"/>
          <w:szCs w:val="28"/>
        </w:rPr>
        <w:t xml:space="preserve">L’ipotesi della “triangolazione”: prima di trasferirsi nel paese a fiscalità privilegiata il contribuente si trasferisce in </w:t>
      </w:r>
      <w:proofErr w:type="gramStart"/>
      <w:r w:rsidRPr="005B1CA9">
        <w:rPr>
          <w:rFonts w:ascii="Times New Roman" w:hAnsi="Times New Roman" w:cs="Times New Roman"/>
          <w:sz w:val="28"/>
          <w:szCs w:val="28"/>
        </w:rPr>
        <w:t>una pa</w:t>
      </w:r>
      <w:r w:rsidR="005B1CA9">
        <w:rPr>
          <w:rFonts w:ascii="Times New Roman" w:hAnsi="Times New Roman" w:cs="Times New Roman"/>
          <w:sz w:val="28"/>
          <w:szCs w:val="28"/>
        </w:rPr>
        <w:t>e</w:t>
      </w:r>
      <w:r w:rsidRPr="005B1CA9">
        <w:rPr>
          <w:rFonts w:ascii="Times New Roman" w:hAnsi="Times New Roman" w:cs="Times New Roman"/>
          <w:sz w:val="28"/>
          <w:szCs w:val="28"/>
        </w:rPr>
        <w:t>se</w:t>
      </w:r>
      <w:proofErr w:type="gramEnd"/>
      <w:r w:rsidRPr="005B1CA9">
        <w:rPr>
          <w:rFonts w:ascii="Times New Roman" w:hAnsi="Times New Roman" w:cs="Times New Roman"/>
          <w:sz w:val="28"/>
          <w:szCs w:val="28"/>
        </w:rPr>
        <w:t xml:space="preserve"> a tassazione ordinaria. Può operare comunque la presunzione di residenza in Italia? A che condizioni?</w:t>
      </w:r>
    </w:p>
    <w:p w14:paraId="7DD1D19E" w14:textId="015E5A5D" w:rsidR="00573DC6" w:rsidRDefault="00396BA6" w:rsidP="00573DC6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Soluzione del caso distinguendo:</w:t>
      </w:r>
    </w:p>
    <w:p w14:paraId="4B1AAA64" w14:textId="1B21CFE4" w:rsidR="00396BA6" w:rsidRPr="005B1CA9" w:rsidRDefault="00396BA6" w:rsidP="00396BA6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1CA9">
        <w:rPr>
          <w:rFonts w:ascii="Times New Roman" w:hAnsi="Times New Roman" w:cs="Times New Roman"/>
          <w:sz w:val="28"/>
          <w:szCs w:val="28"/>
        </w:rPr>
        <w:t xml:space="preserve">Per il quesito A) la </w:t>
      </w:r>
      <w:r w:rsidR="005B1CA9" w:rsidRPr="005B1CA9">
        <w:rPr>
          <w:rFonts w:ascii="Times New Roman" w:hAnsi="Times New Roman" w:cs="Times New Roman"/>
          <w:sz w:val="28"/>
          <w:szCs w:val="28"/>
        </w:rPr>
        <w:t>possibile</w:t>
      </w:r>
      <w:r w:rsidRPr="005B1CA9">
        <w:rPr>
          <w:rFonts w:ascii="Times New Roman" w:hAnsi="Times New Roman" w:cs="Times New Roman"/>
          <w:sz w:val="28"/>
          <w:szCs w:val="28"/>
        </w:rPr>
        <w:t xml:space="preserve"> prova contraria del tennista, valorizzando elementi di collegamento </w:t>
      </w:r>
      <w:r w:rsidR="005B1CA9" w:rsidRPr="005B1CA9">
        <w:rPr>
          <w:rFonts w:ascii="Times New Roman" w:hAnsi="Times New Roman" w:cs="Times New Roman"/>
          <w:sz w:val="28"/>
          <w:szCs w:val="28"/>
        </w:rPr>
        <w:t>stanziale</w:t>
      </w:r>
      <w:r w:rsidRPr="005B1CA9">
        <w:rPr>
          <w:rFonts w:ascii="Times New Roman" w:hAnsi="Times New Roman" w:cs="Times New Roman"/>
          <w:sz w:val="28"/>
          <w:szCs w:val="28"/>
        </w:rPr>
        <w:t xml:space="preserve"> con il Principato di Monaco</w:t>
      </w:r>
    </w:p>
    <w:p w14:paraId="5AFA26DE" w14:textId="76EE571C" w:rsidR="00396BA6" w:rsidRDefault="00396BA6" w:rsidP="00396BA6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1CA9">
        <w:rPr>
          <w:rFonts w:ascii="Times New Roman" w:hAnsi="Times New Roman" w:cs="Times New Roman"/>
          <w:sz w:val="28"/>
          <w:szCs w:val="28"/>
        </w:rPr>
        <w:t xml:space="preserve">Per il quesito B) l’ipotesi di triangolazione. Quali elementi dovrebbero essere valorizzati per superare la presunzione di residenza in Italia </w:t>
      </w:r>
      <w:r w:rsidR="005B1CA9" w:rsidRPr="005B1CA9">
        <w:rPr>
          <w:rFonts w:ascii="Times New Roman" w:hAnsi="Times New Roman" w:cs="Times New Roman"/>
          <w:sz w:val="28"/>
          <w:szCs w:val="28"/>
        </w:rPr>
        <w:t>attraverso</w:t>
      </w:r>
      <w:r w:rsidRPr="005B1CA9">
        <w:rPr>
          <w:rFonts w:ascii="Times New Roman" w:hAnsi="Times New Roman" w:cs="Times New Roman"/>
          <w:sz w:val="28"/>
          <w:szCs w:val="28"/>
        </w:rPr>
        <w:t xml:space="preserve"> il “filtro” del trasferimento in </w:t>
      </w:r>
      <w:r w:rsidR="005B1CA9" w:rsidRPr="005B1CA9">
        <w:rPr>
          <w:rFonts w:ascii="Times New Roman" w:hAnsi="Times New Roman" w:cs="Times New Roman"/>
          <w:sz w:val="28"/>
          <w:szCs w:val="28"/>
        </w:rPr>
        <w:t>Germania? Valorizzare</w:t>
      </w:r>
      <w:r w:rsidRPr="005B1CA9">
        <w:rPr>
          <w:rFonts w:ascii="Times New Roman" w:hAnsi="Times New Roman" w:cs="Times New Roman"/>
          <w:sz w:val="28"/>
          <w:szCs w:val="28"/>
        </w:rPr>
        <w:t xml:space="preserve"> elementi di collegamento sostanziale nel trasferimento “ponte” in Germania</w:t>
      </w:r>
    </w:p>
    <w:p w14:paraId="2D9C1C5A" w14:textId="0C969AE3" w:rsidR="00975E64" w:rsidRPr="005B1CA9" w:rsidRDefault="00975E64" w:rsidP="00396BA6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Per il quesito C) </w:t>
      </w:r>
      <w:r w:rsidR="00915199">
        <w:rPr>
          <w:rFonts w:ascii="Times New Roman" w:hAnsi="Times New Roman" w:cs="Times New Roman"/>
          <w:sz w:val="28"/>
          <w:szCs w:val="28"/>
        </w:rPr>
        <w:t xml:space="preserve">illustrare </w:t>
      </w:r>
      <w:r>
        <w:rPr>
          <w:rFonts w:ascii="Times New Roman" w:hAnsi="Times New Roman" w:cs="Times New Roman"/>
          <w:sz w:val="28"/>
          <w:szCs w:val="28"/>
        </w:rPr>
        <w:t>le tre diverse possibili situazioni</w:t>
      </w:r>
      <w:r w:rsidR="00915199">
        <w:rPr>
          <w:rFonts w:ascii="Times New Roman" w:hAnsi="Times New Roman" w:cs="Times New Roman"/>
          <w:sz w:val="28"/>
          <w:szCs w:val="28"/>
        </w:rPr>
        <w:t>, utilizzando dati di fantasia</w:t>
      </w:r>
    </w:p>
    <w:p w14:paraId="75639471" w14:textId="77777777" w:rsidR="00573DC6" w:rsidRPr="005B1CA9" w:rsidRDefault="00573DC6" w:rsidP="00573DC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823D1FE" w14:textId="07BB5550" w:rsidR="0032464C" w:rsidRPr="005B1CA9" w:rsidRDefault="008D504C" w:rsidP="00573DC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B1CA9">
        <w:rPr>
          <w:rFonts w:ascii="Times New Roman" w:hAnsi="Times New Roman" w:cs="Times New Roman"/>
          <w:b/>
          <w:bCs/>
          <w:sz w:val="28"/>
          <w:szCs w:val="28"/>
        </w:rPr>
        <w:t>Analisi e sviluppo del caso pratico</w:t>
      </w:r>
    </w:p>
    <w:sectPr w:rsidR="0032464C" w:rsidRPr="005B1CA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777D7D"/>
    <w:multiLevelType w:val="hybridMultilevel"/>
    <w:tmpl w:val="7722C682"/>
    <w:lvl w:ilvl="0" w:tplc="3478367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E53327"/>
    <w:multiLevelType w:val="hybridMultilevel"/>
    <w:tmpl w:val="1270A67C"/>
    <w:lvl w:ilvl="0" w:tplc="3DA8B05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4989726">
    <w:abstractNumId w:val="0"/>
  </w:num>
  <w:num w:numId="2" w16cid:durableId="9190965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B48"/>
    <w:rsid w:val="000417A3"/>
    <w:rsid w:val="001A2D4B"/>
    <w:rsid w:val="0032464C"/>
    <w:rsid w:val="00396BA6"/>
    <w:rsid w:val="003B5B48"/>
    <w:rsid w:val="00573DC6"/>
    <w:rsid w:val="005B1CA9"/>
    <w:rsid w:val="005B27DD"/>
    <w:rsid w:val="008D504C"/>
    <w:rsid w:val="00915199"/>
    <w:rsid w:val="00975E64"/>
    <w:rsid w:val="009C7283"/>
    <w:rsid w:val="00A44AF0"/>
    <w:rsid w:val="00B82483"/>
    <w:rsid w:val="00D25118"/>
    <w:rsid w:val="00D62874"/>
    <w:rsid w:val="00D77F9B"/>
    <w:rsid w:val="00E50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A8CAC"/>
  <w15:chartTrackingRefBased/>
  <w15:docId w15:val="{CE1F04FA-4D81-4533-AEEE-6F1CEA6F9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3B5B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B5B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B5B4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B5B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B5B4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B5B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B5B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B5B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B5B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B5B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B5B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B5B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B5B48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B5B48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B5B4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B5B4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B5B4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B5B4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B5B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B5B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B5B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B5B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B5B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B5B4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B5B4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B5B48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B5B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B5B48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B5B4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600</Words>
  <Characters>3426</Characters>
  <Application>Microsoft Office Word</Application>
  <DocSecurity>0</DocSecurity>
  <Lines>28</Lines>
  <Paragraphs>8</Paragraphs>
  <ScaleCrop>false</ScaleCrop>
  <Company/>
  <LinksUpToDate>false</LinksUpToDate>
  <CharactersWithSpaces>4018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Giorgi</dc:creator>
  <cp:keywords/>
  <dc:description/>
  <cp:lastModifiedBy>Lorenzo del Federico</cp:lastModifiedBy>
  <cp:revision>10</cp:revision>
  <dcterms:created xsi:type="dcterms:W3CDTF">2025-04-09T11:36:00Z</dcterms:created>
  <dcterms:modified xsi:type="dcterms:W3CDTF">2025-05-05T14:33:00Z</dcterms:modified>
</cp:coreProperties>
</file>